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08761" w14:textId="77777777" w:rsidR="008F5CA5" w:rsidRDefault="008F5CA5" w:rsidP="00845EE3">
      <w:pPr>
        <w:tabs>
          <w:tab w:val="left" w:pos="8137"/>
        </w:tabs>
        <w:spacing w:line="240" w:lineRule="auto"/>
        <w:jc w:val="center"/>
        <w:rPr>
          <w:rFonts w:eastAsia="Calibri"/>
          <w:b/>
          <w:bCs/>
        </w:rPr>
      </w:pPr>
      <w:bookmarkStart w:id="0" w:name="_GoBack"/>
      <w:bookmarkEnd w:id="0"/>
      <w:r w:rsidRPr="008F5CA5">
        <w:rPr>
          <w:rFonts w:eastAsia="Calibri"/>
          <w:b/>
          <w:bCs/>
        </w:rPr>
        <w:t>TECHNINĖ SPECIFIKACIJA</w:t>
      </w:r>
    </w:p>
    <w:p w14:paraId="4FB688C0" w14:textId="77777777" w:rsidR="004C7B86" w:rsidRPr="00845EE3" w:rsidRDefault="004C7B86" w:rsidP="00EE326B">
      <w:pPr>
        <w:tabs>
          <w:tab w:val="left" w:pos="8137"/>
        </w:tabs>
        <w:spacing w:line="240" w:lineRule="auto"/>
        <w:jc w:val="center"/>
        <w:rPr>
          <w:rFonts w:eastAsia="Calibri"/>
          <w:b/>
          <w:bCs/>
        </w:rPr>
      </w:pPr>
      <w:r w:rsidRPr="00845EE3">
        <w:rPr>
          <w:rFonts w:eastAsia="Calibri"/>
          <w:b/>
          <w:bCs/>
        </w:rPr>
        <w:t>SĄVOKOS IR SUTRUMPINIMAI</w:t>
      </w:r>
    </w:p>
    <w:p w14:paraId="28A918E6" w14:textId="77777777" w:rsidR="004C7B86" w:rsidRPr="00845EE3" w:rsidRDefault="008F5CA5" w:rsidP="00EE326B">
      <w:pPr>
        <w:numPr>
          <w:ilvl w:val="0"/>
          <w:numId w:val="1"/>
        </w:numPr>
        <w:spacing w:line="240" w:lineRule="auto"/>
        <w:ind w:left="0" w:firstLine="992"/>
        <w:jc w:val="both"/>
        <w:rPr>
          <w:rFonts w:eastAsia="Times New Roman"/>
        </w:rPr>
      </w:pPr>
      <w:r w:rsidRPr="008F5CA5">
        <w:rPr>
          <w:rFonts w:eastAsia="Times New Roman"/>
          <w:b/>
        </w:rPr>
        <w:t xml:space="preserve">Perkančioji organizacija </w:t>
      </w:r>
      <w:r w:rsidRPr="008F5CA5">
        <w:rPr>
          <w:rFonts w:eastAsia="Times New Roman"/>
        </w:rPr>
        <w:t>– valstybės įmonė „Oro navigacija“ (toliau – Įmonė arba Perkančioji organizacija).</w:t>
      </w:r>
    </w:p>
    <w:p w14:paraId="7A2CFFA6" w14:textId="77777777" w:rsidR="008F5CA5" w:rsidRPr="008F5CA5" w:rsidRDefault="008F5CA5" w:rsidP="00EE326B">
      <w:pPr>
        <w:numPr>
          <w:ilvl w:val="0"/>
          <w:numId w:val="1"/>
        </w:numPr>
        <w:spacing w:line="240" w:lineRule="auto"/>
        <w:ind w:left="0" w:firstLine="992"/>
        <w:jc w:val="both"/>
        <w:rPr>
          <w:rFonts w:eastAsia="Times New Roman"/>
        </w:rPr>
      </w:pPr>
      <w:r w:rsidRPr="008F5CA5">
        <w:rPr>
          <w:rFonts w:eastAsia="Times New Roman"/>
          <w:b/>
          <w:bCs/>
        </w:rPr>
        <w:t xml:space="preserve">Paslaugų teikėjas </w:t>
      </w:r>
      <w:r w:rsidRPr="008F5CA5">
        <w:rPr>
          <w:rFonts w:eastAsia="Times New Roman"/>
          <w:bCs/>
        </w:rPr>
        <w:t>– ūkio subjektas – fizinis asmuo, privatusis juridinis asmuo, viešasis juridinis asmuo, kitos organizacijos ir jų padaliniai ar tokių asmenų</w:t>
      </w:r>
      <w:r w:rsidRPr="008F5CA5">
        <w:rPr>
          <w:rFonts w:eastAsia="Times New Roman"/>
        </w:rPr>
        <w:t xml:space="preserve"> grupė, su kuriuo Perkančioji organizacija sudaro Sutartį.</w:t>
      </w:r>
    </w:p>
    <w:p w14:paraId="2B588A2D" w14:textId="77777777" w:rsidR="008F5CA5" w:rsidRPr="008F5CA5" w:rsidRDefault="008F5CA5" w:rsidP="00EE326B">
      <w:pPr>
        <w:numPr>
          <w:ilvl w:val="0"/>
          <w:numId w:val="1"/>
        </w:numPr>
        <w:spacing w:line="240" w:lineRule="auto"/>
        <w:ind w:left="0" w:firstLine="992"/>
        <w:jc w:val="both"/>
        <w:rPr>
          <w:rFonts w:eastAsia="Times New Roman"/>
        </w:rPr>
      </w:pPr>
      <w:r w:rsidRPr="008F5CA5">
        <w:rPr>
          <w:rFonts w:eastAsia="Times New Roman"/>
          <w:b/>
        </w:rPr>
        <w:t>Sutartis</w:t>
      </w:r>
      <w:r w:rsidRPr="008F5CA5">
        <w:rPr>
          <w:rFonts w:eastAsia="Times New Roman"/>
        </w:rPr>
        <w:t xml:space="preserve"> – Sutartis, sudaroma tarp Paslaugų teikėjo ir Perkančiosios organizacijos dėl Pirkimo objekto.</w:t>
      </w:r>
    </w:p>
    <w:p w14:paraId="7EB9B863" w14:textId="77777777" w:rsidR="004C7B86" w:rsidRPr="008F5CA5" w:rsidRDefault="00EE326B" w:rsidP="00EE326B">
      <w:pPr>
        <w:spacing w:line="240" w:lineRule="auto"/>
        <w:jc w:val="center"/>
        <w:rPr>
          <w:rFonts w:eastAsia="Times New Roman"/>
          <w:b/>
        </w:rPr>
      </w:pPr>
      <w:r w:rsidRPr="00EE326B">
        <w:rPr>
          <w:rFonts w:eastAsia="Times New Roman"/>
          <w:b/>
        </w:rPr>
        <w:t>PIRKIMO OBJEKTAS</w:t>
      </w:r>
    </w:p>
    <w:p w14:paraId="35E39837" w14:textId="663490D6" w:rsidR="008F5CA5" w:rsidRPr="00EE326B" w:rsidRDefault="008F5CA5" w:rsidP="00EE326B">
      <w:pPr>
        <w:pStyle w:val="ListParagraph"/>
        <w:numPr>
          <w:ilvl w:val="0"/>
          <w:numId w:val="1"/>
        </w:numPr>
        <w:spacing w:line="240" w:lineRule="auto"/>
        <w:ind w:left="0" w:firstLine="993"/>
        <w:jc w:val="both"/>
        <w:rPr>
          <w:rFonts w:eastAsia="Calibri"/>
          <w:color w:val="C00000"/>
        </w:rPr>
      </w:pPr>
      <w:r w:rsidRPr="00EE326B">
        <w:rPr>
          <w:rFonts w:eastAsia="Calibri"/>
        </w:rPr>
        <w:t xml:space="preserve">Įmonės </w:t>
      </w:r>
      <w:r w:rsidR="000B5B3E" w:rsidRPr="00EE326B">
        <w:rPr>
          <w:rFonts w:eastAsia="Calibri"/>
        </w:rPr>
        <w:t xml:space="preserve">veikloje naudojamo </w:t>
      </w:r>
      <w:r w:rsidRPr="00EE326B">
        <w:rPr>
          <w:rFonts w:eastAsia="Calibri"/>
        </w:rPr>
        <w:t xml:space="preserve">ir patikėjimo teise valdomo </w:t>
      </w:r>
      <w:r w:rsidR="00A54EED">
        <w:rPr>
          <w:rFonts w:eastAsia="Calibri"/>
        </w:rPr>
        <w:t>nekilnojamojo</w:t>
      </w:r>
      <w:r w:rsidR="002C08C3">
        <w:rPr>
          <w:rFonts w:eastAsia="Calibri"/>
        </w:rPr>
        <w:t xml:space="preserve"> ir kilnojamo</w:t>
      </w:r>
      <w:r w:rsidR="00A54EED">
        <w:rPr>
          <w:rFonts w:eastAsia="Calibri"/>
        </w:rPr>
        <w:t xml:space="preserve"> </w:t>
      </w:r>
      <w:r w:rsidR="000B5B3E" w:rsidRPr="00EE326B">
        <w:rPr>
          <w:rFonts w:eastAsia="Calibri"/>
        </w:rPr>
        <w:t>turto, priskirto pastatų bei statinių turto grupei</w:t>
      </w:r>
      <w:r w:rsidR="002A6588" w:rsidRPr="00EE326B">
        <w:rPr>
          <w:rFonts w:eastAsia="Calibri"/>
        </w:rPr>
        <w:t xml:space="preserve"> (toliau </w:t>
      </w:r>
      <w:r w:rsidR="002A6588" w:rsidRPr="00EE326B">
        <w:rPr>
          <w:rFonts w:eastAsia="Calibri"/>
          <w:b/>
        </w:rPr>
        <w:t>Turtas</w:t>
      </w:r>
      <w:r w:rsidR="002A6588" w:rsidRPr="00EE326B">
        <w:rPr>
          <w:rFonts w:eastAsia="Calibri"/>
        </w:rPr>
        <w:t>),</w:t>
      </w:r>
      <w:r w:rsidR="000B5B3E" w:rsidRPr="00EE326B">
        <w:rPr>
          <w:rFonts w:eastAsia="Calibri"/>
        </w:rPr>
        <w:t xml:space="preserve"> </w:t>
      </w:r>
      <w:r w:rsidR="00A54EED">
        <w:rPr>
          <w:rFonts w:eastAsia="Calibri"/>
        </w:rPr>
        <w:t>tikrosios</w:t>
      </w:r>
      <w:r w:rsidR="00A54EED" w:rsidRPr="00EE326B">
        <w:rPr>
          <w:rFonts w:eastAsia="Calibri"/>
        </w:rPr>
        <w:t xml:space="preserve"> </w:t>
      </w:r>
      <w:r w:rsidRPr="00EE326B">
        <w:rPr>
          <w:rFonts w:eastAsia="Calibri"/>
        </w:rPr>
        <w:t>vertės nustatymas</w:t>
      </w:r>
      <w:r w:rsidR="004C7B86" w:rsidRPr="00EE326B">
        <w:rPr>
          <w:rFonts w:eastAsia="Calibri"/>
        </w:rPr>
        <w:t xml:space="preserve"> finansinių ataskaitų sudarymo tikslais</w:t>
      </w:r>
      <w:r w:rsidRPr="00EE326B">
        <w:rPr>
          <w:rFonts w:eastAsia="Calibri"/>
        </w:rPr>
        <w:t xml:space="preserve"> bei </w:t>
      </w:r>
      <w:r w:rsidR="002A6588" w:rsidRPr="00EE326B">
        <w:rPr>
          <w:rFonts w:eastAsia="Calibri"/>
        </w:rPr>
        <w:t>T</w:t>
      </w:r>
      <w:r w:rsidRPr="00EE326B">
        <w:rPr>
          <w:rFonts w:eastAsia="Calibri"/>
        </w:rPr>
        <w:t>urto vertinimo ataskaitų parengimas</w:t>
      </w:r>
      <w:r w:rsidR="004C7B86" w:rsidRPr="00EE326B">
        <w:rPr>
          <w:rFonts w:eastAsia="Calibri"/>
        </w:rPr>
        <w:t>.</w:t>
      </w:r>
    </w:p>
    <w:p w14:paraId="77533F55" w14:textId="77777777" w:rsidR="00EE326B" w:rsidRPr="00EE326B" w:rsidRDefault="00EE326B" w:rsidP="00EE326B">
      <w:pPr>
        <w:spacing w:line="240" w:lineRule="auto"/>
        <w:jc w:val="center"/>
        <w:rPr>
          <w:rFonts w:eastAsia="Calibri"/>
          <w:b/>
        </w:rPr>
      </w:pPr>
      <w:r w:rsidRPr="00EE326B">
        <w:rPr>
          <w:rFonts w:eastAsia="Calibri"/>
          <w:b/>
        </w:rPr>
        <w:t>PIRKIMO OBJEKTO APRAŠYMAS</w:t>
      </w:r>
    </w:p>
    <w:p w14:paraId="4FB19969" w14:textId="0C043198" w:rsidR="008F5CA5" w:rsidRPr="00EE326B" w:rsidRDefault="008F5CA5" w:rsidP="00BE59C4">
      <w:pPr>
        <w:pStyle w:val="ListParagraph"/>
        <w:numPr>
          <w:ilvl w:val="0"/>
          <w:numId w:val="1"/>
        </w:numPr>
        <w:spacing w:line="240" w:lineRule="auto"/>
        <w:ind w:left="0" w:firstLine="992"/>
        <w:contextualSpacing w:val="0"/>
        <w:jc w:val="both"/>
        <w:rPr>
          <w:rFonts w:eastAsia="Times New Roman"/>
        </w:rPr>
      </w:pPr>
      <w:r w:rsidRPr="00EE326B">
        <w:rPr>
          <w:rFonts w:eastAsia="Times New Roman"/>
        </w:rPr>
        <w:t xml:space="preserve">Nustatyti </w:t>
      </w:r>
      <w:r w:rsidR="004C7B86" w:rsidRPr="00EE326B">
        <w:rPr>
          <w:rFonts w:eastAsia="Times New Roman"/>
        </w:rPr>
        <w:t>T</w:t>
      </w:r>
      <w:r w:rsidRPr="00EE326B">
        <w:rPr>
          <w:rFonts w:eastAsia="Times New Roman"/>
        </w:rPr>
        <w:t xml:space="preserve">urto </w:t>
      </w:r>
      <w:r w:rsidR="00A54EED">
        <w:rPr>
          <w:rFonts w:eastAsia="Times New Roman"/>
        </w:rPr>
        <w:t xml:space="preserve">tikrąją </w:t>
      </w:r>
      <w:r w:rsidRPr="00EE326B">
        <w:rPr>
          <w:rFonts w:eastAsia="Times New Roman"/>
        </w:rPr>
        <w:t>vertę kiekvienam konkrečiam objektui (Objektų sąrašas pridedamas). Turto vertinimo metu turi būti parengtos turto vertinimo ataskaitos pagal Įmonės valdomą nekilnojamąjį</w:t>
      </w:r>
      <w:r w:rsidR="002C08C3">
        <w:rPr>
          <w:rFonts w:eastAsia="Times New Roman"/>
        </w:rPr>
        <w:t xml:space="preserve"> ir kilnojamąjį</w:t>
      </w:r>
      <w:r w:rsidRPr="00EE326B">
        <w:rPr>
          <w:rFonts w:eastAsia="Times New Roman"/>
        </w:rPr>
        <w:t xml:space="preserve"> turtą.</w:t>
      </w:r>
    </w:p>
    <w:p w14:paraId="6B5742F5" w14:textId="1D61B1F0" w:rsidR="008F5CA5" w:rsidRPr="000C341D" w:rsidRDefault="008F5CA5" w:rsidP="00BE59C4">
      <w:pPr>
        <w:pStyle w:val="ListParagraph"/>
        <w:numPr>
          <w:ilvl w:val="0"/>
          <w:numId w:val="1"/>
        </w:numPr>
        <w:spacing w:line="240" w:lineRule="auto"/>
        <w:ind w:left="0" w:firstLine="992"/>
        <w:contextualSpacing w:val="0"/>
        <w:jc w:val="both"/>
        <w:rPr>
          <w:rFonts w:eastAsia="Times New Roman"/>
        </w:rPr>
      </w:pPr>
      <w:r w:rsidRPr="00EE326B">
        <w:rPr>
          <w:rFonts w:eastAsia="Times New Roman"/>
        </w:rPr>
        <w:t xml:space="preserve">Vertinamo </w:t>
      </w:r>
      <w:r w:rsidR="002A6588" w:rsidRPr="00EE326B">
        <w:rPr>
          <w:rFonts w:eastAsia="Times New Roman"/>
        </w:rPr>
        <w:t>T</w:t>
      </w:r>
      <w:r w:rsidRPr="00EE326B">
        <w:rPr>
          <w:rFonts w:eastAsia="Times New Roman"/>
        </w:rPr>
        <w:t>urto sąrašai</w:t>
      </w:r>
      <w:r w:rsidR="002C08C3">
        <w:rPr>
          <w:rFonts w:eastAsia="Times New Roman"/>
        </w:rPr>
        <w:t xml:space="preserve"> iki turto vertinimo dienos</w:t>
      </w:r>
      <w:r w:rsidR="000C341D">
        <w:rPr>
          <w:rFonts w:eastAsia="Times New Roman"/>
        </w:rPr>
        <w:t xml:space="preserve"> </w:t>
      </w:r>
      <w:r w:rsidR="002C08C3">
        <w:rPr>
          <w:rFonts w:eastAsia="Times New Roman"/>
        </w:rPr>
        <w:t xml:space="preserve">gali </w:t>
      </w:r>
      <w:r w:rsidR="003400F3">
        <w:rPr>
          <w:rFonts w:eastAsia="Times New Roman"/>
        </w:rPr>
        <w:t>su</w:t>
      </w:r>
      <w:r w:rsidR="002C08C3">
        <w:rPr>
          <w:rFonts w:eastAsia="Times New Roman"/>
        </w:rPr>
        <w:t>mažėti</w:t>
      </w:r>
      <w:r w:rsidR="003400F3">
        <w:rPr>
          <w:rFonts w:eastAsia="Times New Roman"/>
        </w:rPr>
        <w:t xml:space="preserve"> ne daugiau kaip</w:t>
      </w:r>
      <w:r w:rsidR="002C08C3">
        <w:rPr>
          <w:rFonts w:eastAsia="Times New Roman"/>
        </w:rPr>
        <w:t xml:space="preserve"> </w:t>
      </w:r>
      <w:r w:rsidR="000C341D">
        <w:rPr>
          <w:rFonts w:eastAsia="Times New Roman"/>
        </w:rPr>
        <w:t xml:space="preserve">6 vienetais (konkretus turto vienetas, kuriuo gali </w:t>
      </w:r>
      <w:r w:rsidR="003400F3">
        <w:rPr>
          <w:rFonts w:eastAsia="Times New Roman"/>
        </w:rPr>
        <w:t>su</w:t>
      </w:r>
      <w:r w:rsidR="000C341D">
        <w:rPr>
          <w:rFonts w:eastAsia="Times New Roman"/>
        </w:rPr>
        <w:t xml:space="preserve">mažėti vertinamo turto sąrašas, pažymėtas </w:t>
      </w:r>
      <w:r w:rsidR="000C341D">
        <w:rPr>
          <w:rFonts w:eastAsia="Times New Roman"/>
          <w:lang w:val="en-US"/>
        </w:rPr>
        <w:t>1 priede prie technin</w:t>
      </w:r>
      <w:r w:rsidR="000C341D">
        <w:rPr>
          <w:rFonts w:eastAsia="Times New Roman"/>
        </w:rPr>
        <w:t xml:space="preserve">ės specifikacijos </w:t>
      </w:r>
      <w:r w:rsidR="003400F3">
        <w:rPr>
          <w:rFonts w:eastAsia="Times New Roman"/>
        </w:rPr>
        <w:t>E</w:t>
      </w:r>
      <w:r w:rsidR="000C341D">
        <w:rPr>
          <w:rFonts w:eastAsia="Times New Roman"/>
        </w:rPr>
        <w:t>x</w:t>
      </w:r>
      <w:r w:rsidR="003400F3">
        <w:rPr>
          <w:rFonts w:eastAsia="Times New Roman"/>
        </w:rPr>
        <w:t>c</w:t>
      </w:r>
      <w:r w:rsidR="000C341D">
        <w:rPr>
          <w:rFonts w:eastAsia="Times New Roman"/>
        </w:rPr>
        <w:t>el failo pastabose). Taip pat vertinamo turto sąrašas iki turto vertinimo dienos gali ir pad</w:t>
      </w:r>
      <w:r w:rsidR="003400F3">
        <w:rPr>
          <w:rFonts w:eastAsia="Times New Roman"/>
        </w:rPr>
        <w:t>id</w:t>
      </w:r>
      <w:r w:rsidR="000C341D">
        <w:rPr>
          <w:rFonts w:eastAsia="Times New Roman"/>
        </w:rPr>
        <w:t>ėti ne</w:t>
      </w:r>
      <w:r w:rsidR="003400F3">
        <w:rPr>
          <w:rFonts w:eastAsia="Times New Roman"/>
        </w:rPr>
        <w:t xml:space="preserve"> </w:t>
      </w:r>
      <w:r w:rsidR="000C341D">
        <w:rPr>
          <w:rFonts w:eastAsia="Times New Roman"/>
        </w:rPr>
        <w:t xml:space="preserve">daugiau kaip </w:t>
      </w:r>
      <w:r w:rsidR="000C341D">
        <w:rPr>
          <w:rFonts w:eastAsia="Times New Roman"/>
          <w:lang w:val="en-US"/>
        </w:rPr>
        <w:t xml:space="preserve">3 vienetais </w:t>
      </w:r>
      <w:r w:rsidR="000C341D" w:rsidRPr="000C341D">
        <w:t>tik iš statinių grupės (kabelinės linijos ir pan.)</w:t>
      </w:r>
      <w:r w:rsidR="003400F3">
        <w:t>. Tiekėjas, teikdamas pasiūlymą, įsivertina šiuos galimus pokyčius.</w:t>
      </w:r>
    </w:p>
    <w:p w14:paraId="0DB0ADD6" w14:textId="1B751AB5" w:rsidR="008F5CA5" w:rsidRPr="00EE326B" w:rsidRDefault="008F5CA5" w:rsidP="00BE59C4">
      <w:pPr>
        <w:pStyle w:val="ListParagraph"/>
        <w:numPr>
          <w:ilvl w:val="0"/>
          <w:numId w:val="1"/>
        </w:numPr>
        <w:spacing w:line="240" w:lineRule="auto"/>
        <w:ind w:left="0" w:firstLine="992"/>
        <w:contextualSpacing w:val="0"/>
        <w:jc w:val="both"/>
        <w:rPr>
          <w:rFonts w:eastAsia="Times New Roman"/>
        </w:rPr>
      </w:pPr>
      <w:r w:rsidRPr="00EE326B">
        <w:rPr>
          <w:rFonts w:eastAsia="Times New Roman"/>
        </w:rPr>
        <w:t>Paslaugų teikėjas turi suteikti turto vertinimo paslaugas pagal Lietuvos Respublikos turto ir verslo vertinimo pagrindų įstatymo, Turto ir verslo vertinimo metodikos, patvirtintos Lietuvos Respublikos finansų ministro 2012 m. balandžio 27 d. įsakymu Nr. 1K-159, Tarptautinių vertinimo standartų, Europos vertinimo standartų nuostatas, nustatant turto vertę ir parengiant turto vertinimo ataskaitas. Paslaugų teikėjas, atlikdamas turto vertinimą, vadovaujasi aktualiomis turto vertinimą reglamentuojančių teisės aktų redakcijomis.</w:t>
      </w:r>
    </w:p>
    <w:p w14:paraId="4E09B5E5" w14:textId="12536666" w:rsidR="008F5CA5" w:rsidRPr="00EE326B" w:rsidRDefault="008F5CA5" w:rsidP="00BE59C4">
      <w:pPr>
        <w:pStyle w:val="ListParagraph"/>
        <w:numPr>
          <w:ilvl w:val="0"/>
          <w:numId w:val="1"/>
        </w:numPr>
        <w:spacing w:line="240" w:lineRule="auto"/>
        <w:ind w:left="0" w:firstLine="992"/>
        <w:contextualSpacing w:val="0"/>
        <w:jc w:val="both"/>
        <w:rPr>
          <w:rFonts w:eastAsia="Times New Roman"/>
        </w:rPr>
      </w:pPr>
      <w:r w:rsidRPr="00EE326B">
        <w:rPr>
          <w:rFonts w:eastAsia="Times New Roman"/>
        </w:rPr>
        <w:t>Turto vertinimo ataskaitose turi būti pateikiama visa reikalinga informacija, kaip tai nustatyta Turto ir verslo vertinimo pagrindų įstatyme</w:t>
      </w:r>
      <w:r w:rsidR="00422A0A">
        <w:rPr>
          <w:rFonts w:eastAsia="Times New Roman"/>
        </w:rPr>
        <w:t>.</w:t>
      </w:r>
    </w:p>
    <w:p w14:paraId="6593F326" w14:textId="77777777" w:rsidR="00EE326B" w:rsidRDefault="00845EE3" w:rsidP="00845EE3">
      <w:pPr>
        <w:spacing w:line="240" w:lineRule="auto"/>
        <w:jc w:val="center"/>
        <w:rPr>
          <w:rFonts w:eastAsia="Calibri"/>
          <w:b/>
        </w:rPr>
      </w:pPr>
      <w:r>
        <w:rPr>
          <w:rFonts w:eastAsia="Calibri"/>
          <w:b/>
        </w:rPr>
        <w:t>SUTARTINIŲ ĮSIPAREIGOJIMŲ VYKDYMO VIETA</w:t>
      </w:r>
    </w:p>
    <w:p w14:paraId="77E3D44A" w14:textId="77777777" w:rsidR="00845EE3" w:rsidRPr="00845EE3" w:rsidRDefault="00845EE3" w:rsidP="00BE59C4">
      <w:pPr>
        <w:pStyle w:val="ListParagraph"/>
        <w:numPr>
          <w:ilvl w:val="0"/>
          <w:numId w:val="1"/>
        </w:numPr>
        <w:spacing w:line="240" w:lineRule="auto"/>
        <w:ind w:left="0" w:firstLine="992"/>
        <w:jc w:val="both"/>
        <w:rPr>
          <w:rFonts w:eastAsia="Calibri"/>
          <w:b/>
        </w:rPr>
      </w:pPr>
      <w:r w:rsidRPr="008F5CA5">
        <w:rPr>
          <w:rFonts w:eastAsia="Calibri"/>
        </w:rPr>
        <w:t>Paslaugos teikiamos Įmonės patalpose, adresais</w:t>
      </w:r>
      <w:r>
        <w:rPr>
          <w:rFonts w:eastAsia="Calibri"/>
        </w:rPr>
        <w:t>:</w:t>
      </w:r>
    </w:p>
    <w:p w14:paraId="7A5412C4" w14:textId="77777777" w:rsidR="00AF2AD6" w:rsidRDefault="00AF2AD6" w:rsidP="00BE59C4">
      <w:pPr>
        <w:pStyle w:val="ListParagraph"/>
        <w:numPr>
          <w:ilvl w:val="1"/>
          <w:numId w:val="1"/>
        </w:numPr>
        <w:spacing w:line="240" w:lineRule="auto"/>
        <w:ind w:left="0" w:firstLine="992"/>
      </w:pPr>
      <w:r w:rsidRPr="00845EE3">
        <w:t>Balio Karvelio g. 25, Vilnius (Administracija, Regiono skrydžių valdymo centras)</w:t>
      </w:r>
      <w:r w:rsidR="00845EE3">
        <w:t>;</w:t>
      </w:r>
    </w:p>
    <w:p w14:paraId="0660DB06" w14:textId="77777777" w:rsidR="00C66B62" w:rsidRPr="00C66B62" w:rsidRDefault="00C66B62" w:rsidP="00BE59C4">
      <w:pPr>
        <w:pStyle w:val="ListParagraph"/>
        <w:numPr>
          <w:ilvl w:val="1"/>
          <w:numId w:val="1"/>
        </w:numPr>
        <w:spacing w:line="240" w:lineRule="auto"/>
        <w:ind w:left="0" w:firstLine="992"/>
      </w:pPr>
      <w:r w:rsidRPr="00845EE3">
        <w:rPr>
          <w:rFonts w:eastAsia="Calibri"/>
        </w:rPr>
        <w:t>Rodūnios kelias 2, Vilnius (Vilniaus aerodromo skrydžių valdymo centras</w:t>
      </w:r>
      <w:r>
        <w:rPr>
          <w:rFonts w:eastAsia="Calibri"/>
        </w:rPr>
        <w:t>);</w:t>
      </w:r>
    </w:p>
    <w:p w14:paraId="4CBF255C" w14:textId="77777777" w:rsidR="00C66B62" w:rsidRPr="00C66B62" w:rsidRDefault="00C66B62" w:rsidP="00BE59C4">
      <w:pPr>
        <w:pStyle w:val="ListParagraph"/>
        <w:numPr>
          <w:ilvl w:val="1"/>
          <w:numId w:val="1"/>
        </w:numPr>
        <w:spacing w:line="240" w:lineRule="auto"/>
        <w:ind w:left="0" w:firstLine="992"/>
      </w:pPr>
      <w:r w:rsidRPr="008F5CA5">
        <w:rPr>
          <w:rFonts w:eastAsia="Calibri"/>
        </w:rPr>
        <w:t>Oro uosto g. 4, Karmėlava, Kauno raj. (Kauno skrydžių valdymo centras</w:t>
      </w:r>
      <w:r>
        <w:rPr>
          <w:rFonts w:eastAsia="Calibri"/>
        </w:rPr>
        <w:t>);</w:t>
      </w:r>
    </w:p>
    <w:p w14:paraId="5C090C64" w14:textId="77777777" w:rsidR="00C66B62" w:rsidRPr="00C66B62" w:rsidRDefault="00C66B62" w:rsidP="00BE59C4">
      <w:pPr>
        <w:pStyle w:val="ListParagraph"/>
        <w:numPr>
          <w:ilvl w:val="1"/>
          <w:numId w:val="1"/>
        </w:numPr>
        <w:spacing w:line="240" w:lineRule="auto"/>
        <w:ind w:left="0" w:firstLine="992"/>
      </w:pPr>
      <w:r w:rsidRPr="008F5CA5">
        <w:rPr>
          <w:rFonts w:eastAsia="Calibri"/>
        </w:rPr>
        <w:t>Liepojos pl. 1, Palanga (Palangos skrydžių valdymo centras</w:t>
      </w:r>
      <w:r>
        <w:rPr>
          <w:rFonts w:eastAsia="Calibri"/>
        </w:rPr>
        <w:t>);</w:t>
      </w:r>
    </w:p>
    <w:p w14:paraId="622D4D97" w14:textId="77777777" w:rsidR="00C66B62" w:rsidRPr="00C66B62" w:rsidRDefault="00C66B62" w:rsidP="00BE59C4">
      <w:pPr>
        <w:pStyle w:val="ListParagraph"/>
        <w:numPr>
          <w:ilvl w:val="1"/>
          <w:numId w:val="1"/>
        </w:numPr>
        <w:spacing w:line="240" w:lineRule="auto"/>
        <w:ind w:left="0" w:firstLine="992"/>
      </w:pPr>
      <w:r w:rsidRPr="008F5CA5">
        <w:rPr>
          <w:rFonts w:eastAsia="Calibri"/>
        </w:rPr>
        <w:t>Lakūnų g. 3, Šiauliai (Šiaulių skrydžių valdymo centras</w:t>
      </w:r>
      <w:r>
        <w:rPr>
          <w:rFonts w:eastAsia="Calibri"/>
        </w:rPr>
        <w:t>).</w:t>
      </w:r>
    </w:p>
    <w:p w14:paraId="7F067DF5" w14:textId="77777777" w:rsidR="00C66B62" w:rsidRPr="00C66B62" w:rsidRDefault="00C66B62" w:rsidP="00C66B62">
      <w:pPr>
        <w:spacing w:line="240" w:lineRule="auto"/>
        <w:ind w:left="360"/>
        <w:jc w:val="center"/>
        <w:rPr>
          <w:rFonts w:eastAsia="Calibri"/>
          <w:b/>
        </w:rPr>
      </w:pPr>
      <w:r w:rsidRPr="00C66B62">
        <w:rPr>
          <w:rFonts w:eastAsia="Calibri"/>
          <w:b/>
        </w:rPr>
        <w:t xml:space="preserve">SUTARTINIŲ ĮSIPAREIGOJIMŲ VYKDYMO </w:t>
      </w:r>
      <w:r>
        <w:rPr>
          <w:rFonts w:eastAsia="Calibri"/>
          <w:b/>
        </w:rPr>
        <w:t>TVARKA IR TERMINAI</w:t>
      </w:r>
    </w:p>
    <w:p w14:paraId="371B139E" w14:textId="747E1319" w:rsidR="008F5CA5" w:rsidRPr="00C66B62" w:rsidRDefault="008F5CA5" w:rsidP="00BE59C4">
      <w:pPr>
        <w:pStyle w:val="ListParagraph"/>
        <w:numPr>
          <w:ilvl w:val="0"/>
          <w:numId w:val="1"/>
        </w:numPr>
        <w:spacing w:line="240" w:lineRule="auto"/>
        <w:ind w:left="0" w:firstLine="992"/>
        <w:contextualSpacing w:val="0"/>
        <w:jc w:val="both"/>
        <w:rPr>
          <w:rFonts w:eastAsia="Calibri"/>
          <w:b/>
        </w:rPr>
      </w:pPr>
      <w:r w:rsidRPr="00C66B62">
        <w:rPr>
          <w:rFonts w:eastAsia="Calibri"/>
        </w:rPr>
        <w:t>Su</w:t>
      </w:r>
      <w:r w:rsidRPr="00C66B62">
        <w:rPr>
          <w:rFonts w:eastAsia="Calibri"/>
          <w:b/>
        </w:rPr>
        <w:t xml:space="preserve"> </w:t>
      </w:r>
      <w:r w:rsidRPr="00C66B62">
        <w:rPr>
          <w:rFonts w:eastAsia="Calibri"/>
        </w:rPr>
        <w:t xml:space="preserve">Paslaugų teikėju sudaroma </w:t>
      </w:r>
      <w:r w:rsidR="00A54EED">
        <w:rPr>
          <w:rFonts w:eastAsia="Calibri"/>
        </w:rPr>
        <w:t xml:space="preserve">rašytinė </w:t>
      </w:r>
      <w:r w:rsidRPr="00C66B62">
        <w:rPr>
          <w:rFonts w:eastAsia="Calibri"/>
        </w:rPr>
        <w:t>sutartis</w:t>
      </w:r>
      <w:r w:rsidR="00C66B62">
        <w:rPr>
          <w:rFonts w:eastAsia="Calibri"/>
        </w:rPr>
        <w:t>.</w:t>
      </w:r>
    </w:p>
    <w:p w14:paraId="24CC78BB" w14:textId="62AC3163" w:rsidR="008F5CA5" w:rsidRPr="000808BE" w:rsidRDefault="008F5CA5" w:rsidP="00BE59C4">
      <w:pPr>
        <w:pStyle w:val="ListParagraph"/>
        <w:numPr>
          <w:ilvl w:val="0"/>
          <w:numId w:val="1"/>
        </w:numPr>
        <w:spacing w:line="240" w:lineRule="auto"/>
        <w:ind w:left="0" w:firstLine="992"/>
        <w:contextualSpacing w:val="0"/>
        <w:jc w:val="both"/>
        <w:rPr>
          <w:rFonts w:eastAsia="Calibri"/>
        </w:rPr>
      </w:pPr>
      <w:r w:rsidRPr="000808BE">
        <w:rPr>
          <w:rFonts w:eastAsia="Calibri"/>
        </w:rPr>
        <w:t>Paslaugų teikėjas</w:t>
      </w:r>
      <w:r w:rsidR="000F68BB">
        <w:rPr>
          <w:rFonts w:eastAsia="Calibri"/>
        </w:rPr>
        <w:t xml:space="preserve"> turto vertę nustato ir atskaitas pateikia 2021 m. gruodžio 1 d.</w:t>
      </w:r>
    </w:p>
    <w:p w14:paraId="534059BA" w14:textId="6731D817" w:rsidR="008F5CA5" w:rsidRPr="00C66B62" w:rsidRDefault="008F5CA5" w:rsidP="00BE59C4">
      <w:pPr>
        <w:pStyle w:val="ListParagraph"/>
        <w:numPr>
          <w:ilvl w:val="0"/>
          <w:numId w:val="1"/>
        </w:numPr>
        <w:spacing w:line="240" w:lineRule="auto"/>
        <w:ind w:left="0" w:firstLine="992"/>
        <w:contextualSpacing w:val="0"/>
        <w:jc w:val="both"/>
        <w:rPr>
          <w:rFonts w:eastAsia="Calibri"/>
        </w:rPr>
      </w:pPr>
      <w:r w:rsidRPr="00C66B62">
        <w:rPr>
          <w:rFonts w:eastAsia="Calibri"/>
        </w:rPr>
        <w:t xml:space="preserve">Paslaugų teikėjas, atlikęs turto vertinimo paslaugas, pateikia Įmonei </w:t>
      </w:r>
      <w:r w:rsidR="000F68BB">
        <w:rPr>
          <w:rFonts w:eastAsia="Calibri"/>
        </w:rPr>
        <w:t xml:space="preserve">elektroniniu parašu </w:t>
      </w:r>
      <w:r w:rsidR="00066CD4">
        <w:rPr>
          <w:rFonts w:eastAsia="Calibri"/>
        </w:rPr>
        <w:t xml:space="preserve">pasirašytas </w:t>
      </w:r>
      <w:r w:rsidRPr="00C66B62">
        <w:rPr>
          <w:rFonts w:eastAsia="Calibri"/>
        </w:rPr>
        <w:t xml:space="preserve">turto vertinimo </w:t>
      </w:r>
      <w:r w:rsidRPr="000F68BB">
        <w:rPr>
          <w:rFonts w:eastAsia="Calibri"/>
        </w:rPr>
        <w:t xml:space="preserve">ataskaitas </w:t>
      </w:r>
      <w:r w:rsidR="00066CD4" w:rsidRPr="000F68BB">
        <w:rPr>
          <w:rFonts w:eastAsia="Calibri"/>
        </w:rPr>
        <w:t xml:space="preserve">bei </w:t>
      </w:r>
      <w:r w:rsidRPr="000F68BB">
        <w:rPr>
          <w:rFonts w:eastAsia="Calibri"/>
        </w:rPr>
        <w:t>suvestin</w:t>
      </w:r>
      <w:r w:rsidR="00066CD4" w:rsidRPr="000F68BB">
        <w:rPr>
          <w:rFonts w:eastAsia="Calibri"/>
        </w:rPr>
        <w:t>ę</w:t>
      </w:r>
      <w:r w:rsidRPr="000F68BB">
        <w:rPr>
          <w:rFonts w:eastAsia="Calibri"/>
        </w:rPr>
        <w:t xml:space="preserve"> objekto verčių lentel</w:t>
      </w:r>
      <w:r w:rsidR="00066CD4" w:rsidRPr="000F68BB">
        <w:rPr>
          <w:rFonts w:eastAsia="Calibri"/>
        </w:rPr>
        <w:t>ę</w:t>
      </w:r>
      <w:r w:rsidRPr="000F68BB">
        <w:rPr>
          <w:rFonts w:eastAsia="Calibri"/>
        </w:rPr>
        <w:t xml:space="preserve"> (MS Excel formatu).</w:t>
      </w:r>
      <w:r w:rsidRPr="00C66B62">
        <w:rPr>
          <w:rFonts w:eastAsia="Calibri"/>
        </w:rPr>
        <w:t xml:space="preserve"> Kartu su turto vertinimo ataskaitomis pateikiamas suteiktų paslaugų aktas ir sąskaita faktūra suteiktų paslaugų apmokėjimui. </w:t>
      </w:r>
    </w:p>
    <w:p w14:paraId="66BF0C76" w14:textId="172E5F70" w:rsidR="008F5CA5" w:rsidRPr="00C66B62" w:rsidRDefault="008F5CA5" w:rsidP="00BE59C4">
      <w:pPr>
        <w:pStyle w:val="ListParagraph"/>
        <w:numPr>
          <w:ilvl w:val="0"/>
          <w:numId w:val="1"/>
        </w:numPr>
        <w:spacing w:line="240" w:lineRule="auto"/>
        <w:ind w:left="0" w:firstLine="992"/>
        <w:contextualSpacing w:val="0"/>
        <w:jc w:val="both"/>
        <w:rPr>
          <w:rFonts w:eastAsia="Calibri"/>
        </w:rPr>
      </w:pPr>
      <w:r w:rsidRPr="00C66B62">
        <w:rPr>
          <w:rFonts w:eastAsia="Calibri"/>
        </w:rPr>
        <w:lastRenderedPageBreak/>
        <w:t xml:space="preserve">Įmonė įsipareigoja pateikti Paslaugų teikėjui reikalingus dokumentus ir kitą informaciją, reikalingą turto vertinimui atlikti, ne vėliau kaip per 5 (penkias) darbo dienas nuo Paslaugų teikėjo raštiško paklausimo. </w:t>
      </w:r>
      <w:r w:rsidR="0095783B">
        <w:rPr>
          <w:rFonts w:eastAsia="Calibri"/>
        </w:rPr>
        <w:t>Turto apžiūros grafikas bus derinamas su Įmone likus ne mažiau nei 15 kalendorinių dienų iki turto apžiūros.</w:t>
      </w:r>
    </w:p>
    <w:p w14:paraId="29AAA129" w14:textId="77777777" w:rsidR="008F5CA5" w:rsidRPr="000808BE" w:rsidRDefault="008F5CA5" w:rsidP="00BE59C4">
      <w:pPr>
        <w:pStyle w:val="ListParagraph"/>
        <w:numPr>
          <w:ilvl w:val="0"/>
          <w:numId w:val="1"/>
        </w:numPr>
        <w:spacing w:line="240" w:lineRule="auto"/>
        <w:ind w:left="0" w:firstLine="992"/>
        <w:contextualSpacing w:val="0"/>
        <w:jc w:val="both"/>
        <w:rPr>
          <w:rFonts w:eastAsia="Calibri"/>
        </w:rPr>
      </w:pPr>
      <w:r w:rsidRPr="00C66B62">
        <w:rPr>
          <w:rFonts w:eastAsia="Calibri"/>
        </w:rPr>
        <w:t xml:space="preserve">Paslaugų teikėjas įsipareigoja, esant poreikiui, nemokamai konsultuoti Įmonę pristatant Paslaugų teikėjo gautus rezultatus Įmonės auditą atliekančiai įmonei arba Įmonės valdymo organams, </w:t>
      </w:r>
      <w:r w:rsidRPr="000808BE">
        <w:rPr>
          <w:rFonts w:eastAsia="Calibri"/>
        </w:rPr>
        <w:t>savininko teises įgyvendinančiai institucijai.</w:t>
      </w:r>
    </w:p>
    <w:p w14:paraId="11F56662" w14:textId="77777777" w:rsidR="008F5CA5" w:rsidRPr="000808BE" w:rsidRDefault="008F5CA5" w:rsidP="00BE59C4">
      <w:pPr>
        <w:pStyle w:val="ListParagraph"/>
        <w:numPr>
          <w:ilvl w:val="0"/>
          <w:numId w:val="1"/>
        </w:numPr>
        <w:spacing w:line="240" w:lineRule="auto"/>
        <w:ind w:left="0" w:firstLine="992"/>
        <w:contextualSpacing w:val="0"/>
        <w:jc w:val="both"/>
        <w:rPr>
          <w:rFonts w:eastAsia="Calibri"/>
        </w:rPr>
      </w:pPr>
      <w:r w:rsidRPr="000808BE">
        <w:rPr>
          <w:rFonts w:eastAsia="Calibri"/>
        </w:rPr>
        <w:t>Jeigu Įmonės finansinius rezultatus audituojanti įmonė nustato reikšmingų netikslumų, dėl kurių negalima teisingai atvaizduoti finansinėse ataskaitose gautų rezultatų, Paslaugų teikėjo parengtos turto vertinimo ataskaitos laikomos netinkamomis.</w:t>
      </w:r>
    </w:p>
    <w:p w14:paraId="0E6571D4" w14:textId="47F40BF8" w:rsidR="008F5CA5" w:rsidRDefault="00542997" w:rsidP="00BE59C4">
      <w:pPr>
        <w:pStyle w:val="ListParagraph"/>
        <w:numPr>
          <w:ilvl w:val="0"/>
          <w:numId w:val="1"/>
        </w:numPr>
        <w:spacing w:line="240" w:lineRule="auto"/>
        <w:ind w:left="0" w:firstLine="992"/>
        <w:contextualSpacing w:val="0"/>
        <w:jc w:val="both"/>
        <w:rPr>
          <w:rFonts w:eastAsia="Calibri"/>
        </w:rPr>
      </w:pPr>
      <w:r w:rsidRPr="000808BE">
        <w:rPr>
          <w:rFonts w:eastAsia="Calibri"/>
        </w:rPr>
        <w:t>Atsiradus</w:t>
      </w:r>
      <w:r w:rsidR="008F5CA5" w:rsidRPr="000808BE">
        <w:rPr>
          <w:rFonts w:eastAsia="Calibri"/>
        </w:rPr>
        <w:t xml:space="preserve"> </w:t>
      </w:r>
      <w:r w:rsidR="00BE59C4" w:rsidRPr="000808BE">
        <w:rPr>
          <w:rFonts w:eastAsia="Calibri"/>
        </w:rPr>
        <w:t>1</w:t>
      </w:r>
      <w:r w:rsidR="002C08C3">
        <w:rPr>
          <w:rFonts w:eastAsia="Calibri"/>
        </w:rPr>
        <w:t>5</w:t>
      </w:r>
      <w:r w:rsidR="008F5CA5" w:rsidRPr="000808BE">
        <w:rPr>
          <w:rFonts w:eastAsia="Calibri"/>
        </w:rPr>
        <w:t xml:space="preserve"> punkte nurodyt</w:t>
      </w:r>
      <w:r w:rsidRPr="000808BE">
        <w:rPr>
          <w:rFonts w:eastAsia="Calibri"/>
        </w:rPr>
        <w:t>oms aplinkybėms</w:t>
      </w:r>
      <w:r w:rsidR="008F5CA5" w:rsidRPr="000808BE">
        <w:rPr>
          <w:rFonts w:eastAsia="Calibri"/>
        </w:rPr>
        <w:t>, Paslaugų teikėjas įsipareigoja nemokamai ištaisyti nustatytas turto vertinimo klaidas ir pateikti naują turto vertinimo ataskaitą per 10 (dešimt) darbo dienų nuo Įmonės reikalavimo pateikimo dienos.</w:t>
      </w:r>
    </w:p>
    <w:p w14:paraId="27954407" w14:textId="12D585A6" w:rsidR="004B7592" w:rsidRPr="000808BE" w:rsidRDefault="004B7592" w:rsidP="00BE59C4">
      <w:pPr>
        <w:pStyle w:val="ListParagraph"/>
        <w:numPr>
          <w:ilvl w:val="0"/>
          <w:numId w:val="1"/>
        </w:numPr>
        <w:spacing w:line="240" w:lineRule="auto"/>
        <w:ind w:left="0" w:firstLine="992"/>
        <w:contextualSpacing w:val="0"/>
        <w:jc w:val="both"/>
        <w:rPr>
          <w:rFonts w:eastAsia="Calibri"/>
        </w:rPr>
      </w:pPr>
      <w:r>
        <w:rPr>
          <w:rFonts w:eastAsia="Calibri"/>
        </w:rPr>
        <w:t>Pateikta informacija gali būti naudojama tik išskirtinai šio pirkimo tikslu.</w:t>
      </w:r>
    </w:p>
    <w:p w14:paraId="22F73305" w14:textId="77777777" w:rsidR="008F5CA5" w:rsidRPr="008F5CA5" w:rsidRDefault="008F5CA5" w:rsidP="00EE326B">
      <w:pPr>
        <w:tabs>
          <w:tab w:val="left" w:pos="426"/>
          <w:tab w:val="left" w:pos="8137"/>
        </w:tabs>
        <w:spacing w:line="240" w:lineRule="auto"/>
        <w:ind w:firstLine="992"/>
        <w:jc w:val="both"/>
        <w:rPr>
          <w:rFonts w:eastAsia="Times New Roman"/>
        </w:rPr>
      </w:pPr>
    </w:p>
    <w:p w14:paraId="006D15B8" w14:textId="77777777" w:rsidR="007852A7" w:rsidRPr="008F5CA5" w:rsidRDefault="007852A7" w:rsidP="00EE326B">
      <w:pPr>
        <w:spacing w:line="240" w:lineRule="auto"/>
        <w:ind w:firstLine="992"/>
        <w:jc w:val="both"/>
      </w:pPr>
    </w:p>
    <w:sectPr w:rsidR="007852A7" w:rsidRPr="008F5CA5" w:rsidSect="009C439C">
      <w:headerReference w:type="default" r:id="rId8"/>
      <w:pgSz w:w="11906" w:h="16838"/>
      <w:pgMar w:top="1134" w:right="567" w:bottom="1134" w:left="1560"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D7175" w14:textId="77777777" w:rsidR="00FD390E" w:rsidRDefault="00FD390E">
      <w:pPr>
        <w:spacing w:after="0" w:line="240" w:lineRule="auto"/>
      </w:pPr>
      <w:r>
        <w:separator/>
      </w:r>
    </w:p>
  </w:endnote>
  <w:endnote w:type="continuationSeparator" w:id="0">
    <w:p w14:paraId="6F4CA793" w14:textId="77777777" w:rsidR="00FD390E" w:rsidRDefault="00FD3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7C29B" w14:textId="77777777" w:rsidR="00FD390E" w:rsidRDefault="00FD390E">
      <w:pPr>
        <w:spacing w:after="0" w:line="240" w:lineRule="auto"/>
      </w:pPr>
      <w:r>
        <w:separator/>
      </w:r>
    </w:p>
  </w:footnote>
  <w:footnote w:type="continuationSeparator" w:id="0">
    <w:p w14:paraId="7AA2EBB9" w14:textId="77777777" w:rsidR="00FD390E" w:rsidRDefault="00FD39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D590F" w14:textId="525F7CCB" w:rsidR="00736597" w:rsidRDefault="007E35A0">
    <w:pPr>
      <w:pStyle w:val="Header"/>
      <w:jc w:val="center"/>
    </w:pPr>
    <w:r>
      <w:fldChar w:fldCharType="begin"/>
    </w:r>
    <w:r>
      <w:instrText>PAGE   \* MERGEFORMAT</w:instrText>
    </w:r>
    <w:r>
      <w:fldChar w:fldCharType="separate"/>
    </w:r>
    <w:r w:rsidR="00B278C3">
      <w:rPr>
        <w:noProof/>
      </w:rPr>
      <w:t>2</w:t>
    </w:r>
    <w:r>
      <w:fldChar w:fldCharType="end"/>
    </w:r>
  </w:p>
  <w:p w14:paraId="26AE88AA" w14:textId="77777777" w:rsidR="00736597" w:rsidRDefault="00FD39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6585"/>
    <w:multiLevelType w:val="multilevel"/>
    <w:tmpl w:val="71B0CAA4"/>
    <w:lvl w:ilvl="0">
      <w:start w:val="1"/>
      <w:numFmt w:val="decimal"/>
      <w:lvlText w:val="%1."/>
      <w:lvlJc w:val="left"/>
      <w:pPr>
        <w:ind w:left="720" w:hanging="360"/>
      </w:pPr>
      <w:rPr>
        <w:rFonts w:hint="default"/>
        <w:b w:val="0"/>
        <w:color w:val="auto"/>
      </w:rPr>
    </w:lvl>
    <w:lvl w:ilvl="1">
      <w:start w:val="1"/>
      <w:numFmt w:val="decimal"/>
      <w:isLgl/>
      <w:lvlText w:val="%1.%2."/>
      <w:lvlJc w:val="left"/>
      <w:pPr>
        <w:ind w:left="3338"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952C56"/>
    <w:multiLevelType w:val="multilevel"/>
    <w:tmpl w:val="71B0CAA4"/>
    <w:lvl w:ilvl="0">
      <w:start w:val="1"/>
      <w:numFmt w:val="decimal"/>
      <w:lvlText w:val="%1."/>
      <w:lvlJc w:val="left"/>
      <w:pPr>
        <w:ind w:left="720" w:hanging="360"/>
      </w:pPr>
      <w:rPr>
        <w:rFonts w:hint="default"/>
        <w:b w:val="0"/>
        <w:color w:val="auto"/>
      </w:rPr>
    </w:lvl>
    <w:lvl w:ilvl="1">
      <w:start w:val="1"/>
      <w:numFmt w:val="decimal"/>
      <w:isLgl/>
      <w:lvlText w:val="%1.%2."/>
      <w:lvlJc w:val="left"/>
      <w:pPr>
        <w:ind w:left="3338"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313937"/>
    <w:multiLevelType w:val="multilevel"/>
    <w:tmpl w:val="71B0CAA4"/>
    <w:lvl w:ilvl="0">
      <w:start w:val="1"/>
      <w:numFmt w:val="decimal"/>
      <w:lvlText w:val="%1."/>
      <w:lvlJc w:val="left"/>
      <w:pPr>
        <w:ind w:left="720" w:hanging="360"/>
      </w:pPr>
      <w:rPr>
        <w:rFonts w:hint="default"/>
        <w:b w:val="0"/>
        <w:color w:val="auto"/>
      </w:rPr>
    </w:lvl>
    <w:lvl w:ilvl="1">
      <w:start w:val="1"/>
      <w:numFmt w:val="decimal"/>
      <w:isLgl/>
      <w:lvlText w:val="%1.%2."/>
      <w:lvlJc w:val="left"/>
      <w:pPr>
        <w:ind w:left="3338"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11B4490"/>
    <w:multiLevelType w:val="hybridMultilevel"/>
    <w:tmpl w:val="2B90B6E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BC2117B"/>
    <w:multiLevelType w:val="multilevel"/>
    <w:tmpl w:val="A1F01338"/>
    <w:lvl w:ilvl="0">
      <w:start w:val="5"/>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7D696AA1"/>
    <w:multiLevelType w:val="multilevel"/>
    <w:tmpl w:val="F06E7548"/>
    <w:lvl w:ilvl="0">
      <w:start w:val="1"/>
      <w:numFmt w:val="decimal"/>
      <w:lvlText w:val="%1."/>
      <w:lvlJc w:val="left"/>
      <w:pPr>
        <w:ind w:left="720" w:hanging="360"/>
      </w:pPr>
      <w:rPr>
        <w:rFonts w:hint="default"/>
        <w:b/>
        <w:color w:val="auto"/>
      </w:rPr>
    </w:lvl>
    <w:lvl w:ilvl="1">
      <w:start w:val="1"/>
      <w:numFmt w:val="decimal"/>
      <w:isLgl/>
      <w:lvlText w:val="%1.%2."/>
      <w:lvlJc w:val="left"/>
      <w:pPr>
        <w:ind w:left="502" w:hanging="360"/>
      </w:pPr>
      <w:rPr>
        <w:rFonts w:hint="default"/>
        <w:b/>
      </w:rPr>
    </w:lvl>
    <w:lvl w:ilvl="2">
      <w:start w:val="1"/>
      <w:numFmt w:val="decimal"/>
      <w:isLgl/>
      <w:lvlText w:val="%1.%2.%3."/>
      <w:lvlJc w:val="left"/>
      <w:pPr>
        <w:ind w:left="1004"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CA5"/>
    <w:rsid w:val="00066CD4"/>
    <w:rsid w:val="000716E1"/>
    <w:rsid w:val="000808BE"/>
    <w:rsid w:val="00091CFC"/>
    <w:rsid w:val="000B5B3E"/>
    <w:rsid w:val="000B6423"/>
    <w:rsid w:val="000C341D"/>
    <w:rsid w:val="000C3F0F"/>
    <w:rsid w:val="000F68BB"/>
    <w:rsid w:val="001437A8"/>
    <w:rsid w:val="00244D69"/>
    <w:rsid w:val="002A6588"/>
    <w:rsid w:val="002C08C3"/>
    <w:rsid w:val="002C46F5"/>
    <w:rsid w:val="003400F3"/>
    <w:rsid w:val="00370389"/>
    <w:rsid w:val="00422A0A"/>
    <w:rsid w:val="004B7592"/>
    <w:rsid w:val="004C7B86"/>
    <w:rsid w:val="004E07AB"/>
    <w:rsid w:val="00542997"/>
    <w:rsid w:val="005C79B0"/>
    <w:rsid w:val="00612B2C"/>
    <w:rsid w:val="00644E8A"/>
    <w:rsid w:val="006C142B"/>
    <w:rsid w:val="00766B8A"/>
    <w:rsid w:val="007852A7"/>
    <w:rsid w:val="007E35A0"/>
    <w:rsid w:val="00845EE3"/>
    <w:rsid w:val="00845FC6"/>
    <w:rsid w:val="008B7458"/>
    <w:rsid w:val="008C2553"/>
    <w:rsid w:val="008F5CA5"/>
    <w:rsid w:val="009377D7"/>
    <w:rsid w:val="0095783B"/>
    <w:rsid w:val="00984942"/>
    <w:rsid w:val="00A232C0"/>
    <w:rsid w:val="00A54EED"/>
    <w:rsid w:val="00AF2AD6"/>
    <w:rsid w:val="00B24A50"/>
    <w:rsid w:val="00B278C3"/>
    <w:rsid w:val="00BD1AEA"/>
    <w:rsid w:val="00BE59C4"/>
    <w:rsid w:val="00C66B62"/>
    <w:rsid w:val="00E20359"/>
    <w:rsid w:val="00EE326B"/>
    <w:rsid w:val="00EF5367"/>
    <w:rsid w:val="00FD39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440FF"/>
  <w15:chartTrackingRefBased/>
  <w15:docId w15:val="{D00529A0-1531-4CBB-AC53-CE9459C7D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F5CA5"/>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8F5CA5"/>
  </w:style>
  <w:style w:type="paragraph" w:styleId="ListParagraph">
    <w:name w:val="List Paragraph"/>
    <w:basedOn w:val="Normal"/>
    <w:uiPriority w:val="34"/>
    <w:qFormat/>
    <w:rsid w:val="004C7B86"/>
    <w:pPr>
      <w:ind w:left="720"/>
      <w:contextualSpacing/>
    </w:pPr>
  </w:style>
  <w:style w:type="character" w:styleId="CommentReference">
    <w:name w:val="annotation reference"/>
    <w:basedOn w:val="DefaultParagraphFont"/>
    <w:uiPriority w:val="99"/>
    <w:semiHidden/>
    <w:unhideWhenUsed/>
    <w:rsid w:val="00244D69"/>
    <w:rPr>
      <w:sz w:val="16"/>
      <w:szCs w:val="16"/>
    </w:rPr>
  </w:style>
  <w:style w:type="paragraph" w:styleId="CommentText">
    <w:name w:val="annotation text"/>
    <w:basedOn w:val="Normal"/>
    <w:link w:val="CommentTextChar"/>
    <w:uiPriority w:val="99"/>
    <w:semiHidden/>
    <w:unhideWhenUsed/>
    <w:rsid w:val="00244D69"/>
    <w:pPr>
      <w:spacing w:line="240" w:lineRule="auto"/>
    </w:pPr>
    <w:rPr>
      <w:sz w:val="20"/>
      <w:szCs w:val="20"/>
    </w:rPr>
  </w:style>
  <w:style w:type="character" w:customStyle="1" w:styleId="CommentTextChar">
    <w:name w:val="Comment Text Char"/>
    <w:basedOn w:val="DefaultParagraphFont"/>
    <w:link w:val="CommentText"/>
    <w:uiPriority w:val="99"/>
    <w:semiHidden/>
    <w:rsid w:val="00244D69"/>
    <w:rPr>
      <w:sz w:val="20"/>
      <w:szCs w:val="20"/>
    </w:rPr>
  </w:style>
  <w:style w:type="paragraph" w:styleId="CommentSubject">
    <w:name w:val="annotation subject"/>
    <w:basedOn w:val="CommentText"/>
    <w:next w:val="CommentText"/>
    <w:link w:val="CommentSubjectChar"/>
    <w:uiPriority w:val="99"/>
    <w:semiHidden/>
    <w:unhideWhenUsed/>
    <w:rsid w:val="00244D69"/>
    <w:rPr>
      <w:b/>
      <w:bCs/>
    </w:rPr>
  </w:style>
  <w:style w:type="character" w:customStyle="1" w:styleId="CommentSubjectChar">
    <w:name w:val="Comment Subject Char"/>
    <w:basedOn w:val="CommentTextChar"/>
    <w:link w:val="CommentSubject"/>
    <w:uiPriority w:val="99"/>
    <w:semiHidden/>
    <w:rsid w:val="00244D69"/>
    <w:rPr>
      <w:b/>
      <w:bCs/>
      <w:sz w:val="20"/>
      <w:szCs w:val="20"/>
    </w:rPr>
  </w:style>
  <w:style w:type="paragraph" w:styleId="BalloonText">
    <w:name w:val="Balloon Text"/>
    <w:basedOn w:val="Normal"/>
    <w:link w:val="BalloonTextChar"/>
    <w:uiPriority w:val="99"/>
    <w:semiHidden/>
    <w:unhideWhenUsed/>
    <w:rsid w:val="00244D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D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1D41F-0D61-4C22-9787-5C80D8FD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2663</Words>
  <Characters>1518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Ramune Malinauskiene</dc:creator>
  <cp:keywords/>
  <dc:description/>
  <cp:lastModifiedBy>Ausra Jasukaitiene</cp:lastModifiedBy>
  <cp:revision>2</cp:revision>
  <dcterms:created xsi:type="dcterms:W3CDTF">2021-09-25T18:20:00Z</dcterms:created>
  <dcterms:modified xsi:type="dcterms:W3CDTF">2021-09-25T18:20:00Z</dcterms:modified>
</cp:coreProperties>
</file>